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ABB4" w14:textId="10824AFB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 xml:space="preserve">Cardiovascular Impact of Race and Ethnicity in Patients </w:t>
      </w:r>
      <w:proofErr w:type="gramStart"/>
      <w:r w:rsidRPr="00832568">
        <w:rPr>
          <w:sz w:val="36"/>
          <w:szCs w:val="36"/>
        </w:rPr>
        <w:t>With</w:t>
      </w:r>
      <w:proofErr w:type="gramEnd"/>
      <w:r w:rsidRPr="00832568">
        <w:rPr>
          <w:sz w:val="36"/>
          <w:szCs w:val="36"/>
        </w:rPr>
        <w:t xml:space="preserve"> Diabetes and Obesity: </w:t>
      </w:r>
      <w:r w:rsidRPr="00832568">
        <w:rPr>
          <w:i/>
          <w:iCs/>
          <w:sz w:val="36"/>
          <w:szCs w:val="36"/>
        </w:rPr>
        <w:t>JACC</w:t>
      </w:r>
      <w:r w:rsidRPr="00832568">
        <w:rPr>
          <w:sz w:val="36"/>
          <w:szCs w:val="36"/>
        </w:rPr>
        <w:t xml:space="preserve"> Focus Seminar </w:t>
      </w:r>
    </w:p>
    <w:p w14:paraId="7F561088" w14:textId="5D97503B" w:rsidR="00C02FBB" w:rsidRDefault="00832568" w:rsidP="00832568">
      <w:pPr>
        <w:rPr>
          <w:sz w:val="32"/>
          <w:szCs w:val="32"/>
        </w:rPr>
      </w:pPr>
      <w:r w:rsidRPr="00C02FBB">
        <w:rPr>
          <w:sz w:val="32"/>
          <w:szCs w:val="32"/>
        </w:rPr>
        <w:t xml:space="preserve"> Prakash Deedwania </w:t>
      </w:r>
      <w:proofErr w:type="gramStart"/>
      <w:r w:rsidR="00C02FBB">
        <w:rPr>
          <w:sz w:val="32"/>
          <w:szCs w:val="32"/>
        </w:rPr>
        <w:t>MD,FACC</w:t>
      </w:r>
      <w:proofErr w:type="gramEnd"/>
      <w:r w:rsidR="00C02FBB">
        <w:rPr>
          <w:sz w:val="32"/>
          <w:szCs w:val="32"/>
        </w:rPr>
        <w:t>,FAHA,FESC,FHFSA</w:t>
      </w:r>
    </w:p>
    <w:p w14:paraId="10EDC672" w14:textId="36986E82" w:rsidR="00C02FBB" w:rsidRPr="00832568" w:rsidRDefault="00C02FBB" w:rsidP="00832568">
      <w:pPr>
        <w:rPr>
          <w:sz w:val="32"/>
          <w:szCs w:val="32"/>
        </w:rPr>
      </w:pPr>
      <w:r>
        <w:rPr>
          <w:sz w:val="32"/>
          <w:szCs w:val="32"/>
        </w:rPr>
        <w:t xml:space="preserve">Professor Of </w:t>
      </w:r>
      <w:proofErr w:type="gramStart"/>
      <w:r>
        <w:rPr>
          <w:sz w:val="32"/>
          <w:szCs w:val="32"/>
        </w:rPr>
        <w:t>Medicine ,UCSF</w:t>
      </w:r>
      <w:proofErr w:type="gramEnd"/>
      <w:r>
        <w:rPr>
          <w:sz w:val="32"/>
          <w:szCs w:val="32"/>
        </w:rPr>
        <w:t xml:space="preserve"> School of </w:t>
      </w:r>
      <w:proofErr w:type="spellStart"/>
      <w:r>
        <w:rPr>
          <w:sz w:val="32"/>
          <w:szCs w:val="32"/>
        </w:rPr>
        <w:t>Medicine,SanFrancisco,CA</w:t>
      </w:r>
      <w:proofErr w:type="spellEnd"/>
    </w:p>
    <w:p w14:paraId="3AACC438" w14:textId="77777777" w:rsidR="00C02FBB" w:rsidRDefault="00C02FBB" w:rsidP="00832568">
      <w:pPr>
        <w:rPr>
          <w:sz w:val="32"/>
          <w:szCs w:val="32"/>
          <w:lang w:val="en"/>
        </w:rPr>
      </w:pPr>
    </w:p>
    <w:p w14:paraId="1852BF98" w14:textId="10D446CC" w:rsidR="00832568" w:rsidRPr="00832568" w:rsidRDefault="00832568" w:rsidP="00832568">
      <w:pPr>
        <w:rPr>
          <w:sz w:val="36"/>
          <w:szCs w:val="36"/>
          <w:lang w:val="en"/>
        </w:rPr>
      </w:pPr>
      <w:r w:rsidRPr="00832568">
        <w:rPr>
          <w:sz w:val="36"/>
          <w:szCs w:val="36"/>
          <w:lang w:val="en"/>
        </w:rPr>
        <w:t>Obesity and </w:t>
      </w:r>
      <w:hyperlink r:id="rId5" w:tooltip="Learn more about type 2 diabetes from ScienceDirect's AI-generated Topic Pages" w:history="1">
        <w:r w:rsidRPr="00832568">
          <w:rPr>
            <w:rStyle w:val="Hyperlink"/>
            <w:color w:val="auto"/>
            <w:sz w:val="36"/>
            <w:szCs w:val="36"/>
            <w:lang w:val="en"/>
          </w:rPr>
          <w:t>type 2 diabetes</w:t>
        </w:r>
      </w:hyperlink>
      <w:r w:rsidRPr="00832568">
        <w:rPr>
          <w:sz w:val="36"/>
          <w:szCs w:val="36"/>
          <w:lang w:val="en"/>
        </w:rPr>
        <w:t> mellitus are highly prevalent and increasing in the United States among racial/ethnic minority groups. Type 2 diabetes mellitus, which is driven by many factors including elevated levels of adiposity, is an exemplar </w:t>
      </w:r>
      <w:hyperlink r:id="rId6" w:tooltip="Learn more about health disparities from ScienceDirect's AI-generated Topic Pages" w:history="1">
        <w:r w:rsidRPr="00832568">
          <w:rPr>
            <w:rStyle w:val="Hyperlink"/>
            <w:color w:val="auto"/>
            <w:sz w:val="36"/>
            <w:szCs w:val="36"/>
            <w:lang w:val="en"/>
          </w:rPr>
          <w:t>health disparities</w:t>
        </w:r>
      </w:hyperlink>
      <w:r w:rsidRPr="00832568">
        <w:rPr>
          <w:sz w:val="36"/>
          <w:szCs w:val="36"/>
          <w:lang w:val="en"/>
        </w:rPr>
        <w:t> disease. Pervasive </w:t>
      </w:r>
      <w:hyperlink r:id="rId7" w:tooltip="Learn more about disparities from ScienceDirect's AI-generated Topic Pages" w:history="1">
        <w:r w:rsidRPr="00832568">
          <w:rPr>
            <w:rStyle w:val="Hyperlink"/>
            <w:color w:val="auto"/>
            <w:sz w:val="36"/>
            <w:szCs w:val="36"/>
            <w:lang w:val="en"/>
          </w:rPr>
          <w:t>disparities</w:t>
        </w:r>
      </w:hyperlink>
      <w:r w:rsidRPr="00832568">
        <w:rPr>
          <w:sz w:val="36"/>
          <w:szCs w:val="36"/>
          <w:lang w:val="en"/>
        </w:rPr>
        <w:t> exist at every level from risk factors through outcomes for U.S. racial/ethnic minority groups, including African American, Hispanic/</w:t>
      </w:r>
      <w:proofErr w:type="spellStart"/>
      <w:r w:rsidRPr="00832568">
        <w:rPr>
          <w:sz w:val="36"/>
          <w:szCs w:val="36"/>
          <w:lang w:val="en"/>
        </w:rPr>
        <w:t>LatinX</w:t>
      </w:r>
      <w:proofErr w:type="spellEnd"/>
      <w:r w:rsidRPr="00832568">
        <w:rPr>
          <w:sz w:val="36"/>
          <w:szCs w:val="36"/>
          <w:lang w:val="en"/>
        </w:rPr>
        <w:t xml:space="preserve"> American, and </w:t>
      </w:r>
      <w:hyperlink r:id="rId8" w:tooltip="Learn more about Asian American populations from ScienceDirect's AI-generated Topic Pages" w:history="1">
        <w:r w:rsidRPr="00832568">
          <w:rPr>
            <w:rStyle w:val="Hyperlink"/>
            <w:color w:val="auto"/>
            <w:sz w:val="36"/>
            <w:szCs w:val="36"/>
            <w:lang w:val="en"/>
          </w:rPr>
          <w:t>Asian American populations</w:t>
        </w:r>
      </w:hyperlink>
      <w:r w:rsidRPr="00832568">
        <w:rPr>
          <w:sz w:val="36"/>
          <w:szCs w:val="36"/>
          <w:lang w:val="en"/>
        </w:rPr>
        <w:t>. Disparities in clinical care exist including </w:t>
      </w:r>
      <w:hyperlink r:id="rId9" w:tooltip="Learn more about hemoglobin A1c from ScienceDirect's AI-generated Topic Pages" w:history="1">
        <w:r w:rsidRPr="00832568">
          <w:rPr>
            <w:rStyle w:val="Hyperlink"/>
            <w:color w:val="auto"/>
            <w:sz w:val="36"/>
            <w:szCs w:val="36"/>
            <w:lang w:val="en"/>
          </w:rPr>
          <w:t>hemoglobin A1c</w:t>
        </w:r>
      </w:hyperlink>
      <w:r w:rsidRPr="00832568">
        <w:rPr>
          <w:sz w:val="36"/>
          <w:szCs w:val="36"/>
          <w:lang w:val="en"/>
        </w:rPr>
        <w:t xml:space="preserve"> control, lower prescription rates of newer antihyperglycemic medications, along with greater rates of complications </w:t>
      </w:r>
      <w:proofErr w:type="spellStart"/>
      <w:r w:rsidRPr="00832568">
        <w:rPr>
          <w:sz w:val="36"/>
          <w:szCs w:val="36"/>
          <w:lang w:val="en"/>
        </w:rPr>
        <w:t>postbariatric</w:t>
      </w:r>
      <w:proofErr w:type="spellEnd"/>
      <w:r w:rsidRPr="00832568">
        <w:rPr>
          <w:sz w:val="36"/>
          <w:szCs w:val="36"/>
          <w:lang w:val="en"/>
        </w:rPr>
        <w:t xml:space="preserve"> surgery. Underpinning these </w:t>
      </w:r>
      <w:hyperlink r:id="rId10" w:tooltip="Learn more about disparities from ScienceDirect's AI-generated Topic Pages" w:history="1">
        <w:r w:rsidRPr="00832568">
          <w:rPr>
            <w:rStyle w:val="Hyperlink"/>
            <w:color w:val="auto"/>
            <w:sz w:val="36"/>
            <w:szCs w:val="36"/>
            <w:lang w:val="en"/>
          </w:rPr>
          <w:t>disparities</w:t>
        </w:r>
      </w:hyperlink>
      <w:r w:rsidRPr="00832568">
        <w:rPr>
          <w:sz w:val="36"/>
          <w:szCs w:val="36"/>
          <w:lang w:val="en"/>
        </w:rPr>
        <w:t> are the </w:t>
      </w:r>
      <w:hyperlink r:id="rId11" w:tooltip="Learn more about social determinants of health from ScienceDirect's AI-generated Topic Pages" w:history="1">
        <w:r w:rsidRPr="00832568">
          <w:rPr>
            <w:rStyle w:val="Hyperlink"/>
            <w:color w:val="auto"/>
            <w:sz w:val="36"/>
            <w:szCs w:val="36"/>
            <w:lang w:val="en"/>
          </w:rPr>
          <w:t>social determinants of health</w:t>
        </w:r>
      </w:hyperlink>
      <w:r w:rsidRPr="00832568">
        <w:rPr>
          <w:sz w:val="36"/>
          <w:szCs w:val="36"/>
          <w:lang w:val="en"/>
        </w:rPr>
        <w:t> affecting provider–patient interactions, access to resources, and healthy built environments. We review the best practices to address cardiometabolic disparities in the current cardiovascular guidelines and describe recommendations for cross-cutting strategies to advance equity in obesity and </w:t>
      </w:r>
      <w:hyperlink r:id="rId12" w:tooltip="Learn more about type 2 diabetes from ScienceDirect's AI-generated Topic Pages" w:history="1">
        <w:r w:rsidRPr="00832568">
          <w:rPr>
            <w:rStyle w:val="Hyperlink"/>
            <w:color w:val="auto"/>
            <w:sz w:val="36"/>
            <w:szCs w:val="36"/>
            <w:lang w:val="en"/>
          </w:rPr>
          <w:t>type 2 diabetes</w:t>
        </w:r>
      </w:hyperlink>
      <w:r w:rsidRPr="00832568">
        <w:rPr>
          <w:sz w:val="36"/>
          <w:szCs w:val="36"/>
          <w:lang w:val="en"/>
        </w:rPr>
        <w:t> across U.S. racial/ethnic groups.</w:t>
      </w:r>
    </w:p>
    <w:p w14:paraId="347F415C" w14:textId="77777777" w:rsidR="00C02FBB" w:rsidRDefault="00832568" w:rsidP="00832568">
      <w:pPr>
        <w:rPr>
          <w:b/>
          <w:bCs/>
        </w:rPr>
      </w:pPr>
      <w:r w:rsidRPr="00832568">
        <w:lastRenderedPageBreak/>
        <w:drawing>
          <wp:inline distT="0" distB="0" distL="0" distR="0" wp14:anchorId="21D02F4F" wp14:editId="5E0F6605">
            <wp:extent cx="5943600" cy="786892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A2BD" w14:textId="77777777" w:rsidR="00C02FBB" w:rsidRDefault="00C02FBB" w:rsidP="00832568">
      <w:pPr>
        <w:rPr>
          <w:b/>
          <w:bCs/>
        </w:rPr>
      </w:pPr>
    </w:p>
    <w:p w14:paraId="1C57CE68" w14:textId="77777777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lastRenderedPageBreak/>
        <w:t>Racial/Ethnic Disparities in Epidemiology</w:t>
      </w:r>
    </w:p>
    <w:p w14:paraId="6F9639B4" w14:textId="01D2C837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>In the United States, NHB populations have the highest prevalence of obesity (49.6%) followed by Hispanic/</w:t>
      </w:r>
      <w:proofErr w:type="spellStart"/>
      <w:r w:rsidRPr="00832568">
        <w:rPr>
          <w:sz w:val="36"/>
          <w:szCs w:val="36"/>
        </w:rPr>
        <w:t>LatinX</w:t>
      </w:r>
      <w:proofErr w:type="spellEnd"/>
      <w:r w:rsidRPr="00832568">
        <w:rPr>
          <w:sz w:val="36"/>
          <w:szCs w:val="36"/>
        </w:rPr>
        <w:t xml:space="preserve"> (44.8%), non-Hispanic White (NHWs) (42.2%), and Non-Hispanic Asian American (17.4%) populations (1). Severe obesity (BMI ≥40 kg/m</w:t>
      </w:r>
      <w:r w:rsidRPr="00832568">
        <w:rPr>
          <w:sz w:val="36"/>
          <w:szCs w:val="36"/>
          <w:vertAlign w:val="superscript"/>
        </w:rPr>
        <w:t>2</w:t>
      </w:r>
      <w:r w:rsidRPr="00832568">
        <w:rPr>
          <w:sz w:val="36"/>
          <w:szCs w:val="36"/>
        </w:rPr>
        <w:t>) prevalence is highest in NHB (13.8%), followed by NHW (9.3%), Hispanic/</w:t>
      </w:r>
      <w:proofErr w:type="spellStart"/>
      <w:r w:rsidRPr="00832568">
        <w:rPr>
          <w:sz w:val="36"/>
          <w:szCs w:val="36"/>
        </w:rPr>
        <w:t>LatinX</w:t>
      </w:r>
      <w:proofErr w:type="spellEnd"/>
      <w:r w:rsidRPr="00832568">
        <w:rPr>
          <w:sz w:val="36"/>
          <w:szCs w:val="36"/>
        </w:rPr>
        <w:t xml:space="preserve"> (7.9%), and Asian American (2.0%) </w:t>
      </w:r>
      <w:proofErr w:type="gramStart"/>
      <w:r w:rsidRPr="00832568">
        <w:rPr>
          <w:sz w:val="36"/>
          <w:szCs w:val="36"/>
        </w:rPr>
        <w:t>populations .</w:t>
      </w:r>
      <w:proofErr w:type="gramEnd"/>
      <w:r w:rsidRPr="00832568">
        <w:rPr>
          <w:sz w:val="36"/>
          <w:szCs w:val="36"/>
        </w:rPr>
        <w:t xml:space="preserve"> The rates of obesity and severe obesity are rising in all populations, with the higher diabetes prevalence in Asian American, </w:t>
      </w:r>
    </w:p>
    <w:p w14:paraId="7130AAFE" w14:textId="77777777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>Racial/Ethnic Disparities in Clinical Care</w:t>
      </w:r>
    </w:p>
    <w:p w14:paraId="731CD52C" w14:textId="272A93E9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>NHB populations have worse diabetes control using hemoglobin A1c (A1c) as a marker of glycemia compared with NHW populations</w:t>
      </w:r>
      <w:r w:rsidR="00686DB6" w:rsidRPr="00FE04E1">
        <w:rPr>
          <w:sz w:val="36"/>
          <w:szCs w:val="36"/>
        </w:rPr>
        <w:t>.</w:t>
      </w:r>
      <w:r w:rsidR="00D83C98" w:rsidRPr="00FE04E1">
        <w:rPr>
          <w:sz w:val="36"/>
          <w:szCs w:val="36"/>
        </w:rPr>
        <w:t xml:space="preserve"> The</w:t>
      </w:r>
      <w:r w:rsidRPr="00832568">
        <w:rPr>
          <w:sz w:val="36"/>
          <w:szCs w:val="36"/>
        </w:rPr>
        <w:t xml:space="preserve"> impact of access to routine care and insurance have been </w:t>
      </w:r>
      <w:r w:rsidR="00D83C98" w:rsidRPr="00FE04E1">
        <w:rPr>
          <w:sz w:val="36"/>
          <w:szCs w:val="36"/>
        </w:rPr>
        <w:t>reviewed and show important findings.</w:t>
      </w:r>
      <w:r w:rsidRPr="00832568">
        <w:rPr>
          <w:sz w:val="36"/>
          <w:szCs w:val="36"/>
        </w:rPr>
        <w:t xml:space="preserve"> Although large observational studies in NHB populations with diabetes are nonexistent, multiracial studies in patients without diabetes show a higher risk of CVD per increase in A1c with no difference between NHB and NHW groups (27). </w:t>
      </w:r>
    </w:p>
    <w:p w14:paraId="6BC9A4AC" w14:textId="5AB45718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 xml:space="preserve">Behavioral modification, including physical activity, nutrition, stress management, </w:t>
      </w:r>
      <w:proofErr w:type="spellStart"/>
      <w:r w:rsidRPr="00832568">
        <w:rPr>
          <w:sz w:val="36"/>
          <w:szCs w:val="36"/>
        </w:rPr>
        <w:t>etc</w:t>
      </w:r>
      <w:proofErr w:type="spellEnd"/>
      <w:r w:rsidRPr="00832568">
        <w:rPr>
          <w:sz w:val="36"/>
          <w:szCs w:val="36"/>
        </w:rPr>
        <w:t xml:space="preserve">, are key to modification of obesity, diabetes, and </w:t>
      </w:r>
      <w:r w:rsidR="00686DB6" w:rsidRPr="00FE04E1">
        <w:rPr>
          <w:sz w:val="36"/>
          <w:szCs w:val="36"/>
        </w:rPr>
        <w:t>CVD.</w:t>
      </w:r>
      <w:r w:rsidRPr="00832568">
        <w:rPr>
          <w:sz w:val="36"/>
          <w:szCs w:val="36"/>
        </w:rPr>
        <w:t xml:space="preserve"> The</w:t>
      </w:r>
      <w:r w:rsidR="00686DB6" w:rsidRPr="00FE04E1">
        <w:rPr>
          <w:sz w:val="36"/>
          <w:szCs w:val="36"/>
        </w:rPr>
        <w:t xml:space="preserve"> </w:t>
      </w:r>
      <w:r w:rsidRPr="00832568">
        <w:rPr>
          <w:sz w:val="36"/>
          <w:szCs w:val="36"/>
        </w:rPr>
        <w:t xml:space="preserve">multiethnic Look AHEAD (Action for Health in Diabetes) randomized controlled trial did not show a major adverse cardiovascular event (MACE) benefit from increased physical activity in patients with diabetes, although it did show positive non-CVD </w:t>
      </w:r>
      <w:r w:rsidR="00C071FC" w:rsidRPr="00FE04E1">
        <w:rPr>
          <w:sz w:val="36"/>
          <w:szCs w:val="36"/>
        </w:rPr>
        <w:t>outcomes.</w:t>
      </w:r>
      <w:r w:rsidRPr="00832568">
        <w:rPr>
          <w:sz w:val="36"/>
          <w:szCs w:val="36"/>
        </w:rPr>
        <w:t xml:space="preserve"> </w:t>
      </w:r>
    </w:p>
    <w:p w14:paraId="31BF390C" w14:textId="77777777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lastRenderedPageBreak/>
        <w:t>Fundamental Causes of Disparities in Obesity and T2D From Patient and Provider Perspectives</w:t>
      </w:r>
    </w:p>
    <w:p w14:paraId="0FFC3DD4" w14:textId="08CEA4AB" w:rsidR="00832568" w:rsidRPr="00FE04E1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 xml:space="preserve">The fundamental causes of undertreatment and poor control in U.S. racial/ethnic minority groups are multifaceted, but include acculturation, concordance (linguistic, cultural, and racial), and </w:t>
      </w:r>
      <w:proofErr w:type="spellStart"/>
      <w:r w:rsidRPr="00832568">
        <w:rPr>
          <w:sz w:val="36"/>
          <w:szCs w:val="36"/>
        </w:rPr>
        <w:t>SDoH</w:t>
      </w:r>
      <w:proofErr w:type="spellEnd"/>
      <w:r w:rsidRPr="00832568">
        <w:rPr>
          <w:sz w:val="36"/>
          <w:szCs w:val="36"/>
        </w:rPr>
        <w:t xml:space="preserve">. Acculturation is the process by which new cultural elements and engagement in specific behaviors are acquired, including the lifestyle, diet, beliefs, and values of a new country. </w:t>
      </w:r>
      <w:proofErr w:type="spellStart"/>
      <w:r w:rsidRPr="00832568">
        <w:rPr>
          <w:sz w:val="36"/>
          <w:szCs w:val="36"/>
        </w:rPr>
        <w:t>U.</w:t>
      </w:r>
      <w:proofErr w:type="gramStart"/>
      <w:r w:rsidRPr="00832568">
        <w:rPr>
          <w:sz w:val="36"/>
          <w:szCs w:val="36"/>
        </w:rPr>
        <w:t>S.acculturation</w:t>
      </w:r>
      <w:proofErr w:type="spellEnd"/>
      <w:proofErr w:type="gramEnd"/>
      <w:r w:rsidR="00686DB6" w:rsidRPr="00FE04E1">
        <w:rPr>
          <w:sz w:val="36"/>
          <w:szCs w:val="36"/>
        </w:rPr>
        <w:t xml:space="preserve"> </w:t>
      </w:r>
      <w:r w:rsidRPr="00832568">
        <w:rPr>
          <w:sz w:val="36"/>
          <w:szCs w:val="36"/>
        </w:rPr>
        <w:t>in Hispanic/</w:t>
      </w:r>
      <w:proofErr w:type="spellStart"/>
      <w:r w:rsidRPr="00832568">
        <w:rPr>
          <w:sz w:val="36"/>
          <w:szCs w:val="36"/>
        </w:rPr>
        <w:t>LatinX</w:t>
      </w:r>
      <w:proofErr w:type="spellEnd"/>
      <w:r w:rsidRPr="00832568">
        <w:rPr>
          <w:sz w:val="36"/>
          <w:szCs w:val="36"/>
        </w:rPr>
        <w:t xml:space="preserve"> populations is associated with obesity-related behaviors, obesity,</w:t>
      </w:r>
      <w:r w:rsidR="00C071FC" w:rsidRPr="00FE04E1">
        <w:rPr>
          <w:sz w:val="36"/>
          <w:szCs w:val="36"/>
        </w:rPr>
        <w:t xml:space="preserve"> and </w:t>
      </w:r>
      <w:r w:rsidRPr="00832568">
        <w:rPr>
          <w:sz w:val="36"/>
          <w:szCs w:val="36"/>
        </w:rPr>
        <w:t>diabetes</w:t>
      </w:r>
      <w:r w:rsidR="00C071FC" w:rsidRPr="00FE04E1">
        <w:rPr>
          <w:sz w:val="36"/>
          <w:szCs w:val="36"/>
        </w:rPr>
        <w:t>.</w:t>
      </w:r>
    </w:p>
    <w:p w14:paraId="2F70FD12" w14:textId="77777777" w:rsidR="00C071FC" w:rsidRPr="00832568" w:rsidRDefault="00C071FC" w:rsidP="00832568">
      <w:pPr>
        <w:rPr>
          <w:sz w:val="36"/>
          <w:szCs w:val="36"/>
        </w:rPr>
      </w:pPr>
    </w:p>
    <w:p w14:paraId="2C64D7C6" w14:textId="2333BC42" w:rsidR="00C071FC" w:rsidRPr="00FE04E1" w:rsidRDefault="00C071FC" w:rsidP="00832568">
      <w:pPr>
        <w:rPr>
          <w:sz w:val="36"/>
          <w:szCs w:val="36"/>
        </w:rPr>
      </w:pPr>
      <w:r w:rsidRPr="00FE04E1">
        <w:rPr>
          <w:sz w:val="36"/>
          <w:szCs w:val="36"/>
        </w:rPr>
        <w:t xml:space="preserve">Public Health Measures to Improve impact of Race </w:t>
      </w:r>
      <w:r w:rsidR="00167A25" w:rsidRPr="00FE04E1">
        <w:rPr>
          <w:sz w:val="36"/>
          <w:szCs w:val="36"/>
        </w:rPr>
        <w:t>and Ethnicity</w:t>
      </w:r>
    </w:p>
    <w:p w14:paraId="0A5DD180" w14:textId="3DA861A3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 xml:space="preserve">Approaches to improving obesity, diabetes, and CVD must address </w:t>
      </w:r>
      <w:proofErr w:type="spellStart"/>
      <w:r w:rsidRPr="00832568">
        <w:rPr>
          <w:sz w:val="36"/>
          <w:szCs w:val="36"/>
        </w:rPr>
        <w:t>SDoH</w:t>
      </w:r>
      <w:proofErr w:type="spellEnd"/>
      <w:r w:rsidRPr="00832568">
        <w:rPr>
          <w:sz w:val="36"/>
          <w:szCs w:val="36"/>
        </w:rPr>
        <w:t xml:space="preserve"> through multilevel </w:t>
      </w:r>
      <w:r w:rsidR="00167A25" w:rsidRPr="00FE04E1">
        <w:rPr>
          <w:sz w:val="36"/>
          <w:szCs w:val="36"/>
        </w:rPr>
        <w:t>approaches focusing</w:t>
      </w:r>
      <w:r w:rsidRPr="00832568">
        <w:rPr>
          <w:sz w:val="36"/>
          <w:szCs w:val="36"/>
        </w:rPr>
        <w:t xml:space="preserve"> on nonmedical, health-related social needs (</w:t>
      </w:r>
      <w:proofErr w:type="spellStart"/>
      <w:r w:rsidRPr="00832568">
        <w:rPr>
          <w:sz w:val="36"/>
          <w:szCs w:val="36"/>
        </w:rPr>
        <w:t>ie</w:t>
      </w:r>
      <w:proofErr w:type="spellEnd"/>
      <w:r w:rsidRPr="00832568">
        <w:rPr>
          <w:sz w:val="36"/>
          <w:szCs w:val="36"/>
        </w:rPr>
        <w:t xml:space="preserve">, approaches to improve food insecurity have shown reductions in A1c) and/or by addressing the </w:t>
      </w:r>
      <w:proofErr w:type="spellStart"/>
      <w:r w:rsidRPr="00832568">
        <w:rPr>
          <w:sz w:val="36"/>
          <w:szCs w:val="36"/>
        </w:rPr>
        <w:t>SDoH</w:t>
      </w:r>
      <w:proofErr w:type="spellEnd"/>
      <w:r w:rsidRPr="00832568">
        <w:rPr>
          <w:sz w:val="36"/>
          <w:szCs w:val="36"/>
        </w:rPr>
        <w:t xml:space="preserve"> through policy (</w:t>
      </w:r>
      <w:proofErr w:type="spellStart"/>
      <w:r w:rsidRPr="00832568">
        <w:rPr>
          <w:sz w:val="36"/>
          <w:szCs w:val="36"/>
        </w:rPr>
        <w:t>ie</w:t>
      </w:r>
      <w:proofErr w:type="spellEnd"/>
      <w:r w:rsidRPr="00832568">
        <w:rPr>
          <w:sz w:val="36"/>
          <w:szCs w:val="36"/>
        </w:rPr>
        <w:t>, poverty, racism, residential segregation</w:t>
      </w:r>
      <w:proofErr w:type="gramStart"/>
      <w:r w:rsidRPr="00832568">
        <w:rPr>
          <w:sz w:val="36"/>
          <w:szCs w:val="36"/>
        </w:rPr>
        <w:t>) .</w:t>
      </w:r>
      <w:proofErr w:type="gramEnd"/>
      <w:r w:rsidRPr="00832568">
        <w:rPr>
          <w:sz w:val="36"/>
          <w:szCs w:val="36"/>
        </w:rPr>
        <w:t xml:space="preserve"> Policy reform will have long-lasting impacts through deconstructing the systems leading to </w:t>
      </w:r>
      <w:proofErr w:type="spellStart"/>
      <w:r w:rsidRPr="00832568">
        <w:rPr>
          <w:sz w:val="36"/>
          <w:szCs w:val="36"/>
        </w:rPr>
        <w:t>SDoH</w:t>
      </w:r>
      <w:proofErr w:type="spellEnd"/>
      <w:r w:rsidRPr="00832568">
        <w:rPr>
          <w:sz w:val="36"/>
          <w:szCs w:val="36"/>
        </w:rPr>
        <w:t>-based inequities.</w:t>
      </w:r>
    </w:p>
    <w:p w14:paraId="4C3AD618" w14:textId="77777777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>Conclusions</w:t>
      </w:r>
    </w:p>
    <w:p w14:paraId="08343236" w14:textId="406079B3" w:rsidR="00832568" w:rsidRPr="00832568" w:rsidRDefault="00832568" w:rsidP="00832568">
      <w:pPr>
        <w:rPr>
          <w:sz w:val="36"/>
          <w:szCs w:val="36"/>
        </w:rPr>
      </w:pPr>
      <w:r w:rsidRPr="00832568">
        <w:rPr>
          <w:sz w:val="36"/>
          <w:szCs w:val="36"/>
        </w:rPr>
        <w:t xml:space="preserve">Obesity and T2D are exemplar health disparity conditions caused by inequities across the spectrum of the diseases. U.S. </w:t>
      </w:r>
      <w:r w:rsidRPr="00832568">
        <w:rPr>
          <w:sz w:val="36"/>
          <w:szCs w:val="36"/>
        </w:rPr>
        <w:lastRenderedPageBreak/>
        <w:t xml:space="preserve">racial/ethnic minority groups are significantly affected by the deleterious impact of obesity and diabetes on CVD. Currently, building trust with patients, effective communication, diversity in medicine and science, and patient-centered, guideline-based care are cornerstones of improving diabetes and obesity care. Further research is needed to address several topics. </w:t>
      </w:r>
    </w:p>
    <w:p w14:paraId="04100201" w14:textId="50298BD6" w:rsidR="00832568" w:rsidRPr="00832568" w:rsidRDefault="00832568" w:rsidP="00832568">
      <w:pPr>
        <w:rPr>
          <w:sz w:val="36"/>
          <w:szCs w:val="36"/>
        </w:rPr>
      </w:pPr>
    </w:p>
    <w:p w14:paraId="06007344" w14:textId="64E67957" w:rsidR="00832568" w:rsidRPr="00832568" w:rsidRDefault="00832568" w:rsidP="00832568">
      <w:pPr>
        <w:rPr>
          <w:sz w:val="36"/>
          <w:szCs w:val="36"/>
        </w:rPr>
      </w:pPr>
    </w:p>
    <w:p w14:paraId="57A5C610" w14:textId="78C9EE52" w:rsidR="00832568" w:rsidRPr="00832568" w:rsidRDefault="00832568" w:rsidP="00832568">
      <w:pPr>
        <w:rPr>
          <w:sz w:val="36"/>
          <w:szCs w:val="36"/>
        </w:rPr>
      </w:pPr>
    </w:p>
    <w:p w14:paraId="7FF81CD8" w14:textId="75C8B952" w:rsidR="00832568" w:rsidRPr="00832568" w:rsidRDefault="00832568" w:rsidP="00832568">
      <w:pPr>
        <w:rPr>
          <w:sz w:val="36"/>
          <w:szCs w:val="36"/>
        </w:rPr>
      </w:pPr>
    </w:p>
    <w:p w14:paraId="34B4946B" w14:textId="307A709B" w:rsidR="00832568" w:rsidRPr="00832568" w:rsidRDefault="00832568" w:rsidP="00832568">
      <w:pPr>
        <w:rPr>
          <w:sz w:val="36"/>
          <w:szCs w:val="36"/>
        </w:rPr>
      </w:pPr>
    </w:p>
    <w:p w14:paraId="001DBBE1" w14:textId="643EC0D9" w:rsidR="00832568" w:rsidRPr="00832568" w:rsidRDefault="00832568" w:rsidP="00832568">
      <w:pPr>
        <w:rPr>
          <w:sz w:val="36"/>
          <w:szCs w:val="36"/>
        </w:rPr>
      </w:pPr>
    </w:p>
    <w:p w14:paraId="341E82A9" w14:textId="77777777" w:rsidR="00CD7685" w:rsidRPr="00FE04E1" w:rsidRDefault="00CD7685">
      <w:pPr>
        <w:rPr>
          <w:sz w:val="36"/>
          <w:szCs w:val="36"/>
        </w:rPr>
      </w:pPr>
    </w:p>
    <w:sectPr w:rsidR="00CD7685" w:rsidRPr="00FE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BD3"/>
    <w:multiLevelType w:val="multilevel"/>
    <w:tmpl w:val="9C9C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44119"/>
    <w:multiLevelType w:val="multilevel"/>
    <w:tmpl w:val="4E66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B4139"/>
    <w:multiLevelType w:val="multilevel"/>
    <w:tmpl w:val="E82A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6512F"/>
    <w:multiLevelType w:val="multilevel"/>
    <w:tmpl w:val="9A6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5640885">
    <w:abstractNumId w:val="0"/>
  </w:num>
  <w:num w:numId="2" w16cid:durableId="1286546804">
    <w:abstractNumId w:val="1"/>
  </w:num>
  <w:num w:numId="3" w16cid:durableId="1043136572">
    <w:abstractNumId w:val="2"/>
  </w:num>
  <w:num w:numId="4" w16cid:durableId="889340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68"/>
    <w:rsid w:val="00167A25"/>
    <w:rsid w:val="00686DB6"/>
    <w:rsid w:val="00832568"/>
    <w:rsid w:val="00C02FBB"/>
    <w:rsid w:val="00C071FC"/>
    <w:rsid w:val="00CD7685"/>
    <w:rsid w:val="00D83C98"/>
    <w:rsid w:val="00FC2020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B5D1"/>
  <w15:chartTrackingRefBased/>
  <w15:docId w15:val="{F538FF44-7B91-47BA-BB0D-C1FB768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0230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8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0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6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9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281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0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5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edicine-and-dentistry/asian-american-population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topics/medicine-and-dentistry/disparity" TargetMode="External"/><Relationship Id="rId12" Type="http://schemas.openxmlformats.org/officeDocument/2006/relationships/hyperlink" Target="https://www.sciencedirect.com/topics/nursing-and-health-professions/non-insulin-dependent-diabetes-melli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nursing-and-health-professions/health-disparity" TargetMode="External"/><Relationship Id="rId11" Type="http://schemas.openxmlformats.org/officeDocument/2006/relationships/hyperlink" Target="https://www.sciencedirect.com/topics/nursing-and-health-professions/social-determinants-of-health" TargetMode="External"/><Relationship Id="rId5" Type="http://schemas.openxmlformats.org/officeDocument/2006/relationships/hyperlink" Target="https://www.sciencedirect.com/topics/nursing-and-health-professions/non-insulin-dependent-diabetes-mellit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topics/medicine-and-dentistry/dispa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topics/nursing-and-health-professions/hemoglobin-a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dc:description/>
  <cp:lastModifiedBy>Prakash</cp:lastModifiedBy>
  <cp:revision>2</cp:revision>
  <dcterms:created xsi:type="dcterms:W3CDTF">2022-06-21T00:08:00Z</dcterms:created>
  <dcterms:modified xsi:type="dcterms:W3CDTF">2022-06-21T00:56:00Z</dcterms:modified>
</cp:coreProperties>
</file>